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782EDA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C7603" w:rsidRPr="000C7603">
        <w:rPr>
          <w:rFonts w:ascii="Arial" w:hAnsi="Arial" w:cs="Arial"/>
          <w:b/>
          <w:bCs/>
          <w:sz w:val="28"/>
          <w:szCs w:val="24"/>
        </w:rPr>
        <w:t>S2-2309315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B7172B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887DBE">
        <w:rPr>
          <w:color w:val="0D0D0D"/>
        </w:rPr>
        <w:t xml:space="preserve">Reply </w:t>
      </w:r>
      <w:r w:rsidR="00887DBE" w:rsidRPr="00887DBE">
        <w:rPr>
          <w:color w:val="0D0D0D"/>
        </w:rPr>
        <w:t>LS on CAG solution for mobile IAB</w:t>
      </w:r>
    </w:p>
    <w:p w14:paraId="723DDC09" w14:textId="634357E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57D08" w:rsidRPr="00A57D08">
        <w:rPr>
          <w:bCs w:val="0"/>
        </w:rPr>
        <w:t>LS on CAG solution for mobile IAB</w:t>
      </w:r>
      <w:r w:rsidR="00FF7B54">
        <w:rPr>
          <w:bCs w:val="0"/>
        </w:rPr>
        <w:t xml:space="preserve"> (</w:t>
      </w:r>
      <w:r w:rsidR="00CC1FF0" w:rsidRPr="00CC1FF0">
        <w:rPr>
          <w:bCs w:val="0"/>
        </w:rPr>
        <w:t>R2-2306895</w:t>
      </w:r>
      <w:r w:rsidR="00FF7B54">
        <w:rPr>
          <w:bCs w:val="0"/>
        </w:rPr>
        <w:t>/</w:t>
      </w:r>
      <w:r w:rsidR="000C7603" w:rsidRPr="000C7603">
        <w:t xml:space="preserve"> </w:t>
      </w:r>
      <w:r w:rsidR="000C7603" w:rsidRPr="000C7603">
        <w:rPr>
          <w:bCs w:val="0"/>
        </w:rPr>
        <w:t>S2-2308318</w:t>
      </w:r>
      <w:r w:rsidR="00FF7B54">
        <w:rPr>
          <w:bCs w:val="0"/>
        </w:rPr>
        <w:t>)</w:t>
      </w:r>
    </w:p>
    <w:p w14:paraId="4A2F403A" w14:textId="61A8DA0E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0E1B">
        <w:t>18</w:t>
      </w:r>
    </w:p>
    <w:p w14:paraId="11BFCDC2" w14:textId="7AA1FDA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D0E1B">
        <w:t>VMR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256D6868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35301D">
        <w:rPr>
          <w:b w:val="0"/>
          <w:bCs/>
        </w:rPr>
        <w:t>RAN2</w:t>
      </w:r>
    </w:p>
    <w:p w14:paraId="6E0CADF1" w14:textId="1006EBE2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35301D">
        <w:rPr>
          <w:b w:val="0"/>
          <w:bCs/>
        </w:rPr>
        <w:t>RAN3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137B5B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5301D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D064C5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5301D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843331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5301D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95DE46F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C93AD7">
        <w:rPr>
          <w:rFonts w:ascii="Arial" w:hAnsi="Arial" w:cs="Arial"/>
        </w:rPr>
        <w:t>RAN2 for the LS on CAG solution for mobile IAB (</w:t>
      </w:r>
      <w:r w:rsidR="00C93AD7" w:rsidRPr="00C93AD7">
        <w:rPr>
          <w:rFonts w:ascii="Arial" w:hAnsi="Arial" w:cs="Arial"/>
        </w:rPr>
        <w:t>R2-2306895/S2-230</w:t>
      </w:r>
      <w:r w:rsidR="00B85F17">
        <w:rPr>
          <w:rFonts w:ascii="Arial" w:hAnsi="Arial" w:cs="Arial"/>
        </w:rPr>
        <w:t>8318</w:t>
      </w:r>
      <w:r w:rsidR="00C93AD7">
        <w:rPr>
          <w:rFonts w:ascii="Arial" w:hAnsi="Arial" w:cs="Arial"/>
        </w:rPr>
        <w:t>).</w:t>
      </w:r>
    </w:p>
    <w:p w14:paraId="3FBBE099" w14:textId="77777777" w:rsidR="00C93AD7" w:rsidRDefault="00C93AD7" w:rsidP="00A46486">
      <w:pPr>
        <w:ind w:left="54"/>
        <w:rPr>
          <w:rFonts w:ascii="Arial" w:hAnsi="Arial" w:cs="Arial"/>
        </w:rPr>
      </w:pPr>
    </w:p>
    <w:p w14:paraId="1BE6FA86" w14:textId="42D2B7B1" w:rsidR="004174CE" w:rsidRDefault="000D71C4" w:rsidP="004174CE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As described in TS 23.501 clause 5.35A.7, t</w:t>
      </w:r>
      <w:r w:rsidR="0035120C">
        <w:rPr>
          <w:rFonts w:ascii="Arial" w:hAnsi="Arial" w:cs="Arial"/>
        </w:rPr>
        <w:t>he</w:t>
      </w:r>
      <w:r w:rsidR="00F069A5">
        <w:rPr>
          <w:rFonts w:ascii="Arial" w:hAnsi="Arial" w:cs="Arial"/>
        </w:rPr>
        <w:t xml:space="preserve"> </w:t>
      </w:r>
      <w:r w:rsidR="0089383D">
        <w:rPr>
          <w:rFonts w:ascii="Arial" w:hAnsi="Arial" w:cs="Arial"/>
        </w:rPr>
        <w:t xml:space="preserve">serving </w:t>
      </w:r>
      <w:r w:rsidR="00323AA8">
        <w:rPr>
          <w:rFonts w:ascii="Arial" w:hAnsi="Arial" w:cs="Arial"/>
        </w:rPr>
        <w:t>PLMN</w:t>
      </w:r>
      <w:r w:rsidR="00F069A5">
        <w:rPr>
          <w:rFonts w:ascii="Arial" w:hAnsi="Arial" w:cs="Arial"/>
        </w:rPr>
        <w:t xml:space="preserve"> may choose to use CAG </w:t>
      </w:r>
      <w:r w:rsidR="00BC03FF">
        <w:rPr>
          <w:rFonts w:ascii="Arial" w:hAnsi="Arial" w:cs="Arial"/>
        </w:rPr>
        <w:t xml:space="preserve">mechanism or </w:t>
      </w:r>
      <w:r w:rsidR="00E00922">
        <w:rPr>
          <w:rFonts w:ascii="Arial" w:hAnsi="Arial" w:cs="Arial"/>
        </w:rPr>
        <w:t>other existing mechanism to control a UE’s</w:t>
      </w:r>
      <w:r w:rsidR="005B18F0">
        <w:rPr>
          <w:rFonts w:ascii="Arial" w:hAnsi="Arial" w:cs="Arial"/>
        </w:rPr>
        <w:t xml:space="preserve"> access to the MBSR, </w:t>
      </w:r>
      <w:proofErr w:type="gramStart"/>
      <w:r w:rsidR="005B18F0">
        <w:rPr>
          <w:rFonts w:ascii="Arial" w:hAnsi="Arial" w:cs="Arial"/>
        </w:rPr>
        <w:t>e.g.</w:t>
      </w:r>
      <w:proofErr w:type="gramEnd"/>
      <w:r w:rsidR="005B18F0">
        <w:rPr>
          <w:rFonts w:ascii="Arial" w:hAnsi="Arial" w:cs="Arial"/>
        </w:rPr>
        <w:t xml:space="preserve"> forbidden Tracking Area. </w:t>
      </w:r>
      <w:r w:rsidR="004A1AE4">
        <w:rPr>
          <w:rFonts w:ascii="Arial" w:hAnsi="Arial" w:cs="Arial"/>
        </w:rPr>
        <w:t xml:space="preserve">When CAG </w:t>
      </w:r>
      <w:r w:rsidR="003F3B32">
        <w:rPr>
          <w:rFonts w:ascii="Arial" w:hAnsi="Arial" w:cs="Arial"/>
        </w:rPr>
        <w:t xml:space="preserve">mechanism is used, </w:t>
      </w:r>
      <w:r w:rsidR="00D7757F">
        <w:rPr>
          <w:rFonts w:ascii="Arial" w:hAnsi="Arial" w:cs="Arial"/>
        </w:rPr>
        <w:t xml:space="preserve">existing </w:t>
      </w:r>
      <w:r w:rsidR="00BF6C76">
        <w:rPr>
          <w:rFonts w:ascii="Arial" w:hAnsi="Arial" w:cs="Arial"/>
        </w:rPr>
        <w:t>operations as</w:t>
      </w:r>
      <w:r w:rsidR="00397947">
        <w:rPr>
          <w:rFonts w:ascii="Arial" w:hAnsi="Arial" w:cs="Arial"/>
        </w:rPr>
        <w:t xml:space="preserve"> </w:t>
      </w:r>
      <w:r w:rsidR="00C41525">
        <w:rPr>
          <w:rFonts w:ascii="Arial" w:hAnsi="Arial" w:cs="Arial"/>
        </w:rPr>
        <w:t xml:space="preserve">specified since Rel-16 </w:t>
      </w:r>
      <w:r w:rsidR="00877E27">
        <w:rPr>
          <w:rFonts w:ascii="Arial" w:hAnsi="Arial" w:cs="Arial"/>
        </w:rPr>
        <w:t xml:space="preserve">and </w:t>
      </w:r>
      <w:r w:rsidR="00397947">
        <w:rPr>
          <w:rFonts w:ascii="Arial" w:hAnsi="Arial" w:cs="Arial"/>
        </w:rPr>
        <w:t xml:space="preserve">defined in </w:t>
      </w:r>
      <w:r w:rsidR="005B1144">
        <w:rPr>
          <w:rFonts w:ascii="Arial" w:hAnsi="Arial" w:cs="Arial"/>
        </w:rPr>
        <w:t xml:space="preserve">clause </w:t>
      </w:r>
      <w:r w:rsidR="00397947">
        <w:rPr>
          <w:rFonts w:ascii="Arial" w:hAnsi="Arial" w:cs="Arial"/>
        </w:rPr>
        <w:t xml:space="preserve">5.30.3 </w:t>
      </w:r>
      <w:r w:rsidR="004E54A2">
        <w:rPr>
          <w:rFonts w:ascii="Arial" w:hAnsi="Arial" w:cs="Arial"/>
        </w:rPr>
        <w:t>(</w:t>
      </w:r>
      <w:r w:rsidR="00877E27">
        <w:rPr>
          <w:rFonts w:ascii="Arial" w:hAnsi="Arial" w:cs="Arial"/>
        </w:rPr>
        <w:t>as part of</w:t>
      </w:r>
      <w:r w:rsidR="004E54A2">
        <w:rPr>
          <w:rFonts w:ascii="Arial" w:hAnsi="Arial" w:cs="Arial"/>
        </w:rPr>
        <w:t xml:space="preserve"> PNI-NPN) </w:t>
      </w:r>
      <w:r w:rsidR="003A5CEC">
        <w:rPr>
          <w:rFonts w:ascii="Arial" w:hAnsi="Arial" w:cs="Arial"/>
        </w:rPr>
        <w:t xml:space="preserve">would apply to the MBSR and </w:t>
      </w:r>
      <w:r w:rsidR="00C916E8">
        <w:rPr>
          <w:rFonts w:ascii="Arial" w:hAnsi="Arial" w:cs="Arial"/>
        </w:rPr>
        <w:t>any</w:t>
      </w:r>
      <w:r w:rsidR="003A5CEC">
        <w:rPr>
          <w:rFonts w:ascii="Arial" w:hAnsi="Arial" w:cs="Arial"/>
        </w:rPr>
        <w:t xml:space="preserve"> UE</w:t>
      </w:r>
      <w:r w:rsidR="004E54A2">
        <w:rPr>
          <w:rFonts w:ascii="Arial" w:hAnsi="Arial" w:cs="Arial"/>
        </w:rPr>
        <w:t xml:space="preserve"> (including legacy UEs)</w:t>
      </w:r>
      <w:r w:rsidR="003A5CEC">
        <w:rPr>
          <w:rFonts w:ascii="Arial" w:hAnsi="Arial" w:cs="Arial"/>
        </w:rPr>
        <w:t xml:space="preserve"> </w:t>
      </w:r>
      <w:r w:rsidR="005D1C17">
        <w:rPr>
          <w:rFonts w:ascii="Arial" w:hAnsi="Arial" w:cs="Arial"/>
        </w:rPr>
        <w:t>that supports CAG functionality</w:t>
      </w:r>
      <w:r w:rsidR="00E92809">
        <w:rPr>
          <w:rFonts w:ascii="Arial" w:hAnsi="Arial" w:cs="Arial"/>
        </w:rPr>
        <w:t xml:space="preserve"> (</w:t>
      </w:r>
      <w:r w:rsidR="005607F9">
        <w:rPr>
          <w:rFonts w:ascii="Arial" w:hAnsi="Arial" w:cs="Arial"/>
        </w:rPr>
        <w:t xml:space="preserve">indicated as part of the UE 5GMM Core Network </w:t>
      </w:r>
      <w:r w:rsidR="00837553">
        <w:rPr>
          <w:rFonts w:ascii="Arial" w:hAnsi="Arial" w:cs="Arial"/>
        </w:rPr>
        <w:t>Capability</w:t>
      </w:r>
      <w:r w:rsidR="005607F9">
        <w:rPr>
          <w:rFonts w:ascii="Arial" w:hAnsi="Arial" w:cs="Arial"/>
        </w:rPr>
        <w:t>)</w:t>
      </w:r>
      <w:r w:rsidR="004174CE">
        <w:rPr>
          <w:rFonts w:ascii="Arial" w:hAnsi="Arial" w:cs="Arial"/>
        </w:rPr>
        <w:t xml:space="preserve">. </w:t>
      </w:r>
    </w:p>
    <w:p w14:paraId="34F8B2F2" w14:textId="77777777" w:rsidR="00D7757F" w:rsidRDefault="00D7757F" w:rsidP="004174CE">
      <w:pPr>
        <w:ind w:left="54"/>
        <w:rPr>
          <w:rFonts w:ascii="Arial" w:hAnsi="Arial" w:cs="Arial"/>
        </w:rPr>
      </w:pPr>
    </w:p>
    <w:p w14:paraId="349FF3EC" w14:textId="4C18D7E2" w:rsidR="0033742B" w:rsidRDefault="00D7757F" w:rsidP="0033742B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In Rel-18</w:t>
      </w:r>
      <w:r w:rsidR="004E21AD">
        <w:rPr>
          <w:rFonts w:ascii="Arial" w:hAnsi="Arial" w:cs="Arial"/>
        </w:rPr>
        <w:t xml:space="preserve">, the </w:t>
      </w:r>
      <w:r w:rsidR="00FB1BA8">
        <w:rPr>
          <w:rFonts w:ascii="Arial" w:hAnsi="Arial" w:cs="Arial"/>
        </w:rPr>
        <w:t>CAG mechanism was enhanced with the</w:t>
      </w:r>
      <w:r w:rsidR="0066421E">
        <w:rPr>
          <w:rFonts w:ascii="Arial" w:hAnsi="Arial" w:cs="Arial"/>
        </w:rPr>
        <w:t xml:space="preserve"> </w:t>
      </w:r>
      <w:r w:rsidR="0033742B">
        <w:rPr>
          <w:rFonts w:ascii="Arial" w:hAnsi="Arial" w:cs="Arial"/>
        </w:rPr>
        <w:t xml:space="preserve">optional use </w:t>
      </w:r>
      <w:proofErr w:type="gramStart"/>
      <w:r w:rsidR="0033742B">
        <w:rPr>
          <w:rFonts w:ascii="Arial" w:hAnsi="Arial" w:cs="Arial"/>
        </w:rPr>
        <w:t xml:space="preserve">of  </w:t>
      </w:r>
      <w:r w:rsidR="00FB1BA8">
        <w:rPr>
          <w:rFonts w:ascii="Arial" w:hAnsi="Arial" w:cs="Arial"/>
        </w:rPr>
        <w:t>“</w:t>
      </w:r>
      <w:proofErr w:type="gramEnd"/>
      <w:r w:rsidR="00FB1BA8">
        <w:rPr>
          <w:rFonts w:ascii="Arial" w:hAnsi="Arial" w:cs="Arial"/>
        </w:rPr>
        <w:t xml:space="preserve">time validity information” </w:t>
      </w:r>
      <w:r w:rsidR="003F5A11">
        <w:rPr>
          <w:rFonts w:ascii="Arial" w:hAnsi="Arial" w:cs="Arial"/>
        </w:rPr>
        <w:t xml:space="preserve">in Allowed CAG list, </w:t>
      </w:r>
      <w:r w:rsidR="00FB1BA8">
        <w:rPr>
          <w:rFonts w:ascii="Arial" w:hAnsi="Arial" w:cs="Arial"/>
        </w:rPr>
        <w:t>due to</w:t>
      </w:r>
      <w:r w:rsidR="003F5A11">
        <w:rPr>
          <w:rFonts w:ascii="Arial" w:hAnsi="Arial" w:cs="Arial"/>
        </w:rPr>
        <w:t xml:space="preserve"> the work</w:t>
      </w:r>
      <w:r w:rsidR="004B5245">
        <w:rPr>
          <w:rFonts w:ascii="Arial" w:hAnsi="Arial" w:cs="Arial"/>
        </w:rPr>
        <w:t xml:space="preserve"> o</w:t>
      </w:r>
      <w:r w:rsidR="0066421E">
        <w:rPr>
          <w:rFonts w:ascii="Arial" w:hAnsi="Arial" w:cs="Arial"/>
        </w:rPr>
        <w:t xml:space="preserve">n </w:t>
      </w:r>
      <w:r w:rsidR="004B5245">
        <w:rPr>
          <w:rFonts w:ascii="Arial" w:hAnsi="Arial" w:cs="Arial"/>
        </w:rPr>
        <w:t>VMR</w:t>
      </w:r>
      <w:r w:rsidR="00261CBA">
        <w:rPr>
          <w:rFonts w:ascii="Arial" w:hAnsi="Arial" w:cs="Arial"/>
        </w:rPr>
        <w:t xml:space="preserve"> (related to mobile IAB)</w:t>
      </w:r>
      <w:r w:rsidR="004B5245">
        <w:rPr>
          <w:rFonts w:ascii="Arial" w:hAnsi="Arial" w:cs="Arial"/>
        </w:rPr>
        <w:t xml:space="preserve"> and </w:t>
      </w:r>
      <w:proofErr w:type="spellStart"/>
      <w:r w:rsidR="00B955C3">
        <w:rPr>
          <w:rFonts w:ascii="Arial" w:hAnsi="Arial" w:cs="Arial"/>
        </w:rPr>
        <w:t>e</w:t>
      </w:r>
      <w:r w:rsidR="004B5245">
        <w:rPr>
          <w:rFonts w:ascii="Arial" w:hAnsi="Arial" w:cs="Arial"/>
        </w:rPr>
        <w:t>NPN</w:t>
      </w:r>
      <w:proofErr w:type="spellEnd"/>
      <w:r w:rsidR="003F5A11">
        <w:rPr>
          <w:rFonts w:ascii="Arial" w:hAnsi="Arial" w:cs="Arial"/>
        </w:rPr>
        <w:t xml:space="preserve">. </w:t>
      </w:r>
      <w:r w:rsidR="001E6ED5">
        <w:rPr>
          <w:rFonts w:ascii="Arial" w:hAnsi="Arial" w:cs="Arial"/>
        </w:rPr>
        <w:t xml:space="preserve">Details of the handling of </w:t>
      </w:r>
      <w:r w:rsidR="00277563">
        <w:rPr>
          <w:rFonts w:ascii="Arial" w:hAnsi="Arial" w:cs="Arial"/>
        </w:rPr>
        <w:t>CAG</w:t>
      </w:r>
      <w:r w:rsidR="00E7300F">
        <w:rPr>
          <w:rFonts w:ascii="Arial" w:hAnsi="Arial" w:cs="Arial"/>
        </w:rPr>
        <w:t xml:space="preserve"> list with </w:t>
      </w:r>
      <w:r w:rsidR="001E6ED5">
        <w:rPr>
          <w:rFonts w:ascii="Arial" w:hAnsi="Arial" w:cs="Arial"/>
        </w:rPr>
        <w:t xml:space="preserve">“time validity information” </w:t>
      </w:r>
      <w:r w:rsidR="001D09CF">
        <w:rPr>
          <w:rFonts w:ascii="Arial" w:hAnsi="Arial" w:cs="Arial"/>
        </w:rPr>
        <w:t xml:space="preserve">were </w:t>
      </w:r>
      <w:r w:rsidR="00470CA7">
        <w:rPr>
          <w:rFonts w:ascii="Arial" w:hAnsi="Arial" w:cs="Arial"/>
        </w:rPr>
        <w:t xml:space="preserve">documented in clause 5.30.3.3 and 5.30.3.4. </w:t>
      </w:r>
      <w:r w:rsidR="007E3BF6">
        <w:rPr>
          <w:rFonts w:ascii="Arial" w:hAnsi="Arial" w:cs="Arial"/>
        </w:rPr>
        <w:t xml:space="preserve">No AS layer impact is expected for such enhancement, as the “time validity information” is not </w:t>
      </w:r>
      <w:r w:rsidR="0014313C">
        <w:rPr>
          <w:rFonts w:ascii="Arial" w:hAnsi="Arial" w:cs="Arial"/>
        </w:rPr>
        <w:t>provided to NG-</w:t>
      </w:r>
      <w:r w:rsidR="00FD04FF">
        <w:rPr>
          <w:rFonts w:ascii="Arial" w:hAnsi="Arial" w:cs="Arial"/>
        </w:rPr>
        <w:t xml:space="preserve">RAN </w:t>
      </w:r>
      <w:r w:rsidR="008A0DD7">
        <w:rPr>
          <w:rFonts w:ascii="Arial" w:hAnsi="Arial" w:cs="Arial"/>
        </w:rPr>
        <w:t xml:space="preserve">by </w:t>
      </w:r>
      <w:r w:rsidR="00A25146">
        <w:rPr>
          <w:rFonts w:ascii="Arial" w:hAnsi="Arial" w:cs="Arial"/>
        </w:rPr>
        <w:t xml:space="preserve">AMF </w:t>
      </w:r>
      <w:r w:rsidR="00FD04FF">
        <w:rPr>
          <w:rFonts w:ascii="Arial" w:hAnsi="Arial" w:cs="Arial"/>
        </w:rPr>
        <w:t>and</w:t>
      </w:r>
      <w:r w:rsidR="0014313C">
        <w:rPr>
          <w:rFonts w:ascii="Arial" w:hAnsi="Arial" w:cs="Arial"/>
        </w:rPr>
        <w:t xml:space="preserve"> </w:t>
      </w:r>
      <w:r w:rsidR="00474DBD">
        <w:rPr>
          <w:rFonts w:ascii="Arial" w:hAnsi="Arial" w:cs="Arial"/>
        </w:rPr>
        <w:t>is only provided to UE</w:t>
      </w:r>
      <w:r w:rsidR="00676A84">
        <w:rPr>
          <w:rFonts w:ascii="Arial" w:hAnsi="Arial" w:cs="Arial"/>
        </w:rPr>
        <w:t xml:space="preserve">s that </w:t>
      </w:r>
      <w:r w:rsidR="00474DBD">
        <w:rPr>
          <w:rFonts w:ascii="Arial" w:hAnsi="Arial" w:cs="Arial"/>
        </w:rPr>
        <w:t>indicated the support</w:t>
      </w:r>
      <w:r w:rsidR="00042C72">
        <w:rPr>
          <w:rFonts w:ascii="Arial" w:hAnsi="Arial" w:cs="Arial"/>
        </w:rPr>
        <w:t xml:space="preserve"> </w:t>
      </w:r>
      <w:r w:rsidR="000F72A7">
        <w:rPr>
          <w:rFonts w:ascii="Arial" w:hAnsi="Arial" w:cs="Arial"/>
        </w:rPr>
        <w:t xml:space="preserve">of the validity information </w:t>
      </w:r>
      <w:r w:rsidR="00042C72">
        <w:rPr>
          <w:rFonts w:ascii="Arial" w:hAnsi="Arial" w:cs="Arial"/>
        </w:rPr>
        <w:t>in NAS</w:t>
      </w:r>
      <w:r w:rsidR="00FD04FF">
        <w:rPr>
          <w:rFonts w:ascii="Arial" w:hAnsi="Arial" w:cs="Arial"/>
        </w:rPr>
        <w:t xml:space="preserve">. </w:t>
      </w:r>
      <w:r w:rsidR="0033742B">
        <w:rPr>
          <w:rFonts w:ascii="Arial" w:hAnsi="Arial" w:cs="Arial"/>
        </w:rPr>
        <w:t xml:space="preserve">Also, SA2 would like to clarify that the control of a UE’s access to the MBSR using CAG can be achieved by the 5GC without enhancing the signalling to NG-RAN or UE for “time validity information”.   </w:t>
      </w:r>
    </w:p>
    <w:p w14:paraId="45FA546D" w14:textId="775D7162" w:rsidR="00D7757F" w:rsidRDefault="00D7757F" w:rsidP="004174CE">
      <w:pPr>
        <w:ind w:left="54"/>
        <w:rPr>
          <w:rFonts w:ascii="Arial" w:hAnsi="Arial" w:cs="Arial"/>
        </w:rPr>
      </w:pPr>
    </w:p>
    <w:p w14:paraId="0182C9BE" w14:textId="77777777" w:rsidR="00D51EA6" w:rsidRDefault="00D51EA6" w:rsidP="00A46486">
      <w:pPr>
        <w:ind w:left="54"/>
        <w:rPr>
          <w:rFonts w:ascii="Arial" w:hAnsi="Arial" w:cs="Arial"/>
          <w:noProof/>
          <w:lang w:eastAsia="ko-KR"/>
        </w:rPr>
      </w:pPr>
    </w:p>
    <w:p w14:paraId="7B2DF3E8" w14:textId="586BD8F6" w:rsidR="00796021" w:rsidRDefault="001275CF" w:rsidP="001275CF">
      <w:pPr>
        <w:ind w:left="54"/>
        <w:rPr>
          <w:rFonts w:ascii="Arial" w:hAnsi="Arial" w:cs="Arial"/>
        </w:rPr>
      </w:pPr>
      <w:r>
        <w:rPr>
          <w:rFonts w:ascii="Arial" w:hAnsi="Arial" w:cs="Arial"/>
          <w:noProof/>
          <w:lang w:eastAsia="ko-KR"/>
        </w:rPr>
        <w:t xml:space="preserve">SA2 would like to ask RAN2 to </w:t>
      </w:r>
      <w:r w:rsidR="00837553">
        <w:rPr>
          <w:rFonts w:ascii="Arial" w:hAnsi="Arial" w:cs="Arial"/>
          <w:noProof/>
          <w:lang w:eastAsia="ko-KR"/>
        </w:rPr>
        <w:t>take the above into account when evaluting the AS layer impacts</w:t>
      </w:r>
      <w:r w:rsidR="0075018F">
        <w:rPr>
          <w:rFonts w:ascii="Arial" w:hAnsi="Arial" w:cs="Arial"/>
          <w:noProof/>
          <w:lang w:eastAsia="ko-KR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FA36B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95B9A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17AC247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5DD1">
        <w:rPr>
          <w:rFonts w:ascii="Arial" w:hAnsi="Arial" w:cs="Arial"/>
        </w:rPr>
        <w:t>SA2 would like to ask RAN2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1AD5F" w14:textId="77777777" w:rsidR="00E0182A" w:rsidRDefault="00E0182A">
      <w:r>
        <w:separator/>
      </w:r>
    </w:p>
  </w:endnote>
  <w:endnote w:type="continuationSeparator" w:id="0">
    <w:p w14:paraId="5DFB7880" w14:textId="77777777" w:rsidR="00E0182A" w:rsidRDefault="00E0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C836" w14:textId="77777777" w:rsidR="00E0182A" w:rsidRDefault="00E0182A">
      <w:r>
        <w:separator/>
      </w:r>
    </w:p>
  </w:footnote>
  <w:footnote w:type="continuationSeparator" w:id="0">
    <w:p w14:paraId="1F25271A" w14:textId="77777777" w:rsidR="00E0182A" w:rsidRDefault="00E01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42C72"/>
    <w:rsid w:val="00051102"/>
    <w:rsid w:val="000534DD"/>
    <w:rsid w:val="00055DD1"/>
    <w:rsid w:val="00066AAD"/>
    <w:rsid w:val="00077A67"/>
    <w:rsid w:val="000853EA"/>
    <w:rsid w:val="00092844"/>
    <w:rsid w:val="00095B9A"/>
    <w:rsid w:val="000A468F"/>
    <w:rsid w:val="000A4D5D"/>
    <w:rsid w:val="000B08DF"/>
    <w:rsid w:val="000B244D"/>
    <w:rsid w:val="000B70AE"/>
    <w:rsid w:val="000C4018"/>
    <w:rsid w:val="000C6CA1"/>
    <w:rsid w:val="000C7603"/>
    <w:rsid w:val="000D71C4"/>
    <w:rsid w:val="000E7FEC"/>
    <w:rsid w:val="000F08AB"/>
    <w:rsid w:val="000F2149"/>
    <w:rsid w:val="000F4E43"/>
    <w:rsid w:val="000F72A7"/>
    <w:rsid w:val="00121BEE"/>
    <w:rsid w:val="00124717"/>
    <w:rsid w:val="001269B9"/>
    <w:rsid w:val="001275CF"/>
    <w:rsid w:val="00127D76"/>
    <w:rsid w:val="00133547"/>
    <w:rsid w:val="00142757"/>
    <w:rsid w:val="0014313C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1CBA"/>
    <w:rsid w:val="00262C21"/>
    <w:rsid w:val="00264421"/>
    <w:rsid w:val="002656B5"/>
    <w:rsid w:val="002671A1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23AA8"/>
    <w:rsid w:val="00324937"/>
    <w:rsid w:val="0033742B"/>
    <w:rsid w:val="00343BBE"/>
    <w:rsid w:val="00344778"/>
    <w:rsid w:val="0035120C"/>
    <w:rsid w:val="0035301D"/>
    <w:rsid w:val="00381387"/>
    <w:rsid w:val="003856A3"/>
    <w:rsid w:val="00387EBE"/>
    <w:rsid w:val="00397947"/>
    <w:rsid w:val="003A4C02"/>
    <w:rsid w:val="003A5CEC"/>
    <w:rsid w:val="003C280F"/>
    <w:rsid w:val="003C464C"/>
    <w:rsid w:val="003C6ED3"/>
    <w:rsid w:val="003E015B"/>
    <w:rsid w:val="003F396C"/>
    <w:rsid w:val="003F3B32"/>
    <w:rsid w:val="003F5A11"/>
    <w:rsid w:val="00407FED"/>
    <w:rsid w:val="00416573"/>
    <w:rsid w:val="004174CE"/>
    <w:rsid w:val="00423E0E"/>
    <w:rsid w:val="00430812"/>
    <w:rsid w:val="00434917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EE1"/>
    <w:rsid w:val="0049341F"/>
    <w:rsid w:val="00493DB4"/>
    <w:rsid w:val="004A1AE4"/>
    <w:rsid w:val="004A31B6"/>
    <w:rsid w:val="004B5245"/>
    <w:rsid w:val="004C3C1E"/>
    <w:rsid w:val="004D0E1B"/>
    <w:rsid w:val="004D6C05"/>
    <w:rsid w:val="004E21AD"/>
    <w:rsid w:val="004E54A2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2C14"/>
    <w:rsid w:val="005335A4"/>
    <w:rsid w:val="00547EA9"/>
    <w:rsid w:val="00551D6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C38C8"/>
    <w:rsid w:val="005C4DEC"/>
    <w:rsid w:val="005D0FCF"/>
    <w:rsid w:val="005D1C17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0ED0"/>
    <w:rsid w:val="0066421E"/>
    <w:rsid w:val="00666C42"/>
    <w:rsid w:val="006728A3"/>
    <w:rsid w:val="00672C26"/>
    <w:rsid w:val="006759EE"/>
    <w:rsid w:val="00676A84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4354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BF6"/>
    <w:rsid w:val="007E3DD4"/>
    <w:rsid w:val="007F6BB2"/>
    <w:rsid w:val="007F74BE"/>
    <w:rsid w:val="0080339C"/>
    <w:rsid w:val="00804480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7E27"/>
    <w:rsid w:val="008810E7"/>
    <w:rsid w:val="00887DBE"/>
    <w:rsid w:val="0089383D"/>
    <w:rsid w:val="008A0DD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85F17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1525"/>
    <w:rsid w:val="00C42F45"/>
    <w:rsid w:val="00C47105"/>
    <w:rsid w:val="00C54300"/>
    <w:rsid w:val="00C55D6B"/>
    <w:rsid w:val="00C62595"/>
    <w:rsid w:val="00C63167"/>
    <w:rsid w:val="00C7637A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0922"/>
    <w:rsid w:val="00E0182A"/>
    <w:rsid w:val="00E02BFB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300F"/>
    <w:rsid w:val="00E74294"/>
    <w:rsid w:val="00E74A33"/>
    <w:rsid w:val="00E87510"/>
    <w:rsid w:val="00E92809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069A5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74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2</cp:revision>
  <cp:lastPrinted>2002-04-23T08:10:00Z</cp:lastPrinted>
  <dcterms:created xsi:type="dcterms:W3CDTF">2023-08-11T17:03:00Z</dcterms:created>
  <dcterms:modified xsi:type="dcterms:W3CDTF">2023-08-11T17:03:00Z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